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0D35" w:rsidRPr="00E520E5" w:rsidRDefault="008A0D35" w:rsidP="008A0D35">
      <w:pPr>
        <w:shd w:val="clear" w:color="auto" w:fill="FFFFFF"/>
        <w:jc w:val="center"/>
        <w:outlineLvl w:val="2"/>
        <w:rPr>
          <w:rFonts w:ascii="Times New Roman" w:eastAsia="Times New Roman" w:hAnsi="Times New Roman" w:cs="Times New Roman"/>
          <w:b/>
          <w:bCs/>
          <w:color w:val="333333"/>
          <w:sz w:val="28"/>
          <w:szCs w:val="28"/>
          <w:lang w:eastAsia="pl-PL"/>
        </w:rPr>
      </w:pPr>
      <w:r w:rsidRPr="00E520E5">
        <w:rPr>
          <w:rFonts w:ascii="Times New Roman" w:eastAsia="Times New Roman" w:hAnsi="Times New Roman" w:cs="Times New Roman"/>
          <w:b/>
          <w:bCs/>
          <w:color w:val="333333"/>
          <w:sz w:val="28"/>
          <w:szCs w:val="28"/>
          <w:lang w:eastAsia="pl-PL"/>
        </w:rPr>
        <w:t>Instrukcja o niektórych kwestiach dotyczących współpracy wiernych świeckich w ministerialnej posłudze kapłanów</w:t>
      </w:r>
    </w:p>
    <w:p w:rsidR="00E520E5" w:rsidRDefault="00E520E5" w:rsidP="008A0D35">
      <w:pPr>
        <w:shd w:val="clear" w:color="auto" w:fill="FFFFFF"/>
        <w:spacing w:line="360" w:lineRule="atLeast"/>
        <w:jc w:val="both"/>
        <w:rPr>
          <w:rFonts w:ascii="Times New Roman" w:eastAsia="Times New Roman" w:hAnsi="Times New Roman" w:cs="Times New Roman"/>
          <w:color w:val="787878"/>
          <w:lang w:eastAsia="pl-PL"/>
        </w:rPr>
      </w:pPr>
    </w:p>
    <w:p w:rsidR="008A0D35" w:rsidRPr="00E520E5" w:rsidRDefault="008A0D35" w:rsidP="008A0D35">
      <w:pPr>
        <w:shd w:val="clear" w:color="auto" w:fill="FFFFFF"/>
        <w:spacing w:line="360" w:lineRule="atLeast"/>
        <w:jc w:val="both"/>
        <w:rPr>
          <w:rFonts w:ascii="Times New Roman" w:eastAsia="Times New Roman" w:hAnsi="Times New Roman" w:cs="Times New Roman"/>
          <w:color w:val="787878"/>
          <w:lang w:eastAsia="pl-PL"/>
        </w:rPr>
      </w:pPr>
      <w:r w:rsidRPr="00E520E5">
        <w:rPr>
          <w:rFonts w:ascii="Times New Roman" w:eastAsia="Times New Roman" w:hAnsi="Times New Roman" w:cs="Times New Roman"/>
          <w:color w:val="787878"/>
          <w:lang w:eastAsia="pl-PL"/>
        </w:rPr>
        <w:t>Jan Paweł II, 15 sierpnia 1997 r.</w:t>
      </w:r>
    </w:p>
    <w:p w:rsidR="008A0D35" w:rsidRPr="00E520E5" w:rsidRDefault="008A0D35" w:rsidP="008A0D35">
      <w:pPr>
        <w:shd w:val="clear" w:color="auto" w:fill="FFFFFF"/>
        <w:spacing w:line="360" w:lineRule="atLeast"/>
        <w:jc w:val="both"/>
        <w:rPr>
          <w:rFonts w:ascii="Times New Roman" w:eastAsia="Times New Roman" w:hAnsi="Times New Roman" w:cs="Times New Roman"/>
          <w:color w:val="333333"/>
          <w:lang w:eastAsia="pl-PL"/>
        </w:rPr>
      </w:pPr>
    </w:p>
    <w:p w:rsidR="008A0D35" w:rsidRPr="00E520E5" w:rsidRDefault="008A0D35" w:rsidP="008A0D35">
      <w:pPr>
        <w:shd w:val="clear" w:color="auto" w:fill="FFFFFF"/>
        <w:spacing w:before="120" w:after="120" w:line="276" w:lineRule="auto"/>
        <w:jc w:val="both"/>
        <w:rPr>
          <w:rFonts w:ascii="Times New Roman" w:eastAsia="Times New Roman" w:hAnsi="Times New Roman" w:cs="Times New Roman"/>
          <w:color w:val="333333"/>
          <w:lang w:eastAsia="pl-PL"/>
        </w:rPr>
      </w:pPr>
      <w:r w:rsidRPr="00E520E5">
        <w:rPr>
          <w:rFonts w:ascii="Times New Roman" w:eastAsia="Times New Roman" w:hAnsi="Times New Roman" w:cs="Times New Roman"/>
          <w:b/>
          <w:bCs/>
          <w:color w:val="333333"/>
          <w:lang w:eastAsia="pl-PL"/>
        </w:rPr>
        <w:t>Część druga, artykuł 8</w:t>
      </w:r>
    </w:p>
    <w:p w:rsidR="008A0D35" w:rsidRPr="00E520E5" w:rsidRDefault="008A0D35" w:rsidP="008A0D35">
      <w:pPr>
        <w:shd w:val="clear" w:color="auto" w:fill="FFFFFF"/>
        <w:spacing w:before="120" w:after="120" w:line="276" w:lineRule="auto"/>
        <w:jc w:val="both"/>
        <w:rPr>
          <w:rFonts w:ascii="Times New Roman" w:eastAsia="Times New Roman" w:hAnsi="Times New Roman" w:cs="Times New Roman"/>
          <w:color w:val="333333"/>
          <w:lang w:eastAsia="pl-PL"/>
        </w:rPr>
      </w:pPr>
      <w:r w:rsidRPr="00E520E5">
        <w:rPr>
          <w:rFonts w:ascii="Times New Roman" w:eastAsia="Times New Roman" w:hAnsi="Times New Roman" w:cs="Times New Roman"/>
          <w:color w:val="333333"/>
          <w:lang w:eastAsia="pl-PL"/>
        </w:rPr>
        <w:t>Wierni nie wyświęceni już od dłuższego czasu współpracują z szafarzami wyświęconymi w różnych dziedzinach duszpasterstwa, aby «wierni coraz głębiej poznawali niepojęty dar Eucharystii oraz by coraz pełniej mogli zaznawać skuteczności jego zbawczego działania»</w:t>
      </w:r>
      <w:hyperlink r:id="rId4" w:anchor="prz1" w:history="1">
        <w:r w:rsidRPr="00E520E5">
          <w:rPr>
            <w:rFonts w:ascii="Times New Roman" w:eastAsia="Times New Roman" w:hAnsi="Times New Roman" w:cs="Times New Roman"/>
            <w:b/>
            <w:bCs/>
            <w:color w:val="000080"/>
            <w:u w:val="single"/>
            <w:vertAlign w:val="superscript"/>
            <w:lang w:eastAsia="pl-PL"/>
          </w:rPr>
          <w:t>1</w:t>
        </w:r>
      </w:hyperlink>
      <w:r w:rsidRPr="00E520E5">
        <w:rPr>
          <w:rFonts w:ascii="Times New Roman" w:eastAsia="Times New Roman" w:hAnsi="Times New Roman" w:cs="Times New Roman"/>
          <w:color w:val="333333"/>
          <w:lang w:eastAsia="pl-PL"/>
        </w:rPr>
        <w:t>.</w:t>
      </w:r>
    </w:p>
    <w:p w:rsidR="008A0D35" w:rsidRPr="00E520E5" w:rsidRDefault="008A0D35" w:rsidP="008A0D35">
      <w:pPr>
        <w:shd w:val="clear" w:color="auto" w:fill="FFFFFF"/>
        <w:spacing w:before="120" w:after="120" w:line="276" w:lineRule="auto"/>
        <w:jc w:val="both"/>
        <w:rPr>
          <w:rFonts w:ascii="Times New Roman" w:eastAsia="Times New Roman" w:hAnsi="Times New Roman" w:cs="Times New Roman"/>
          <w:color w:val="333333"/>
          <w:lang w:eastAsia="pl-PL"/>
        </w:rPr>
      </w:pPr>
      <w:r w:rsidRPr="00E520E5">
        <w:rPr>
          <w:rFonts w:ascii="Times New Roman" w:eastAsia="Times New Roman" w:hAnsi="Times New Roman" w:cs="Times New Roman"/>
          <w:color w:val="333333"/>
          <w:lang w:eastAsia="pl-PL"/>
        </w:rPr>
        <w:t>Jest to posługa liturgiczna odpowiadająca na rzeczywiste potrzeby wiernych, ustanowiona przede wszystkim z myślą o chorych oraz o zgromadzeniach liturgicznych, podczas których bardzo liczni wierni pragną przyjąć Komunię św.</w:t>
      </w:r>
    </w:p>
    <w:p w:rsidR="008A0D35" w:rsidRPr="00E520E5" w:rsidRDefault="008A0D35" w:rsidP="008A0D35">
      <w:pPr>
        <w:shd w:val="clear" w:color="auto" w:fill="FFFFFF"/>
        <w:spacing w:before="120" w:after="120" w:line="276" w:lineRule="auto"/>
        <w:jc w:val="both"/>
        <w:rPr>
          <w:rFonts w:ascii="Times New Roman" w:eastAsia="Times New Roman" w:hAnsi="Times New Roman" w:cs="Times New Roman"/>
          <w:color w:val="333333"/>
          <w:lang w:eastAsia="pl-PL"/>
        </w:rPr>
      </w:pPr>
      <w:r w:rsidRPr="00E520E5">
        <w:rPr>
          <w:rFonts w:ascii="Times New Roman" w:eastAsia="Times New Roman" w:hAnsi="Times New Roman" w:cs="Times New Roman"/>
          <w:b/>
          <w:bCs/>
          <w:color w:val="333333"/>
          <w:lang w:eastAsia="pl-PL"/>
        </w:rPr>
        <w:t>§ 1.</w:t>
      </w:r>
      <w:r w:rsidRPr="00E520E5">
        <w:rPr>
          <w:rFonts w:ascii="Times New Roman" w:eastAsia="Times New Roman" w:hAnsi="Times New Roman" w:cs="Times New Roman"/>
          <w:color w:val="333333"/>
          <w:lang w:eastAsia="pl-PL"/>
        </w:rPr>
        <w:t> Należy jednak właściwie stosować przepisy kanoniczne dotyczące nadzwyczajnego szafarza Komunii św., aby nie wywoływać nieporozumień. Stanowią one, że zwyczajnym szafarzem komunii św. jest biskup, prezbiter i diakon</w:t>
      </w:r>
      <w:hyperlink r:id="rId5" w:anchor="prz2" w:history="1">
        <w:r w:rsidRPr="00E520E5">
          <w:rPr>
            <w:rFonts w:ascii="Times New Roman" w:eastAsia="Times New Roman" w:hAnsi="Times New Roman" w:cs="Times New Roman"/>
            <w:b/>
            <w:bCs/>
            <w:color w:val="000080"/>
            <w:u w:val="single"/>
            <w:vertAlign w:val="superscript"/>
            <w:lang w:eastAsia="pl-PL"/>
          </w:rPr>
          <w:t>2</w:t>
        </w:r>
      </w:hyperlink>
      <w:r w:rsidRPr="00E520E5">
        <w:rPr>
          <w:rFonts w:ascii="Times New Roman" w:eastAsia="Times New Roman" w:hAnsi="Times New Roman" w:cs="Times New Roman"/>
          <w:color w:val="333333"/>
          <w:lang w:eastAsia="pl-PL"/>
        </w:rPr>
        <w:t>, natomiast szafarzami nadzwyczajnymi są zarówno oficjalnie ustanowieni akolici, jak wierni upoważnieni do tego zgodnie z kan. 230, § 3</w:t>
      </w:r>
      <w:hyperlink r:id="rId6" w:anchor="prz3" w:history="1">
        <w:r w:rsidRPr="00E520E5">
          <w:rPr>
            <w:rFonts w:ascii="Times New Roman" w:eastAsia="Times New Roman" w:hAnsi="Times New Roman" w:cs="Times New Roman"/>
            <w:b/>
            <w:bCs/>
            <w:color w:val="000080"/>
            <w:u w:val="single"/>
            <w:vertAlign w:val="superscript"/>
            <w:lang w:eastAsia="pl-PL"/>
          </w:rPr>
          <w:t>3</w:t>
        </w:r>
      </w:hyperlink>
      <w:r w:rsidRPr="00E520E5">
        <w:rPr>
          <w:rFonts w:ascii="Times New Roman" w:eastAsia="Times New Roman" w:hAnsi="Times New Roman" w:cs="Times New Roman"/>
          <w:color w:val="333333"/>
          <w:lang w:eastAsia="pl-PL"/>
        </w:rPr>
        <w:t>.</w:t>
      </w:r>
    </w:p>
    <w:p w:rsidR="008A0D35" w:rsidRPr="00E520E5" w:rsidRDefault="008A0D35" w:rsidP="008A0D35">
      <w:pPr>
        <w:shd w:val="clear" w:color="auto" w:fill="FFFFFF"/>
        <w:spacing w:before="120" w:after="120" w:line="276" w:lineRule="auto"/>
        <w:jc w:val="both"/>
        <w:rPr>
          <w:rFonts w:ascii="Times New Roman" w:eastAsia="Times New Roman" w:hAnsi="Times New Roman" w:cs="Times New Roman"/>
          <w:color w:val="333333"/>
          <w:lang w:eastAsia="pl-PL"/>
        </w:rPr>
      </w:pPr>
      <w:r w:rsidRPr="00E520E5">
        <w:rPr>
          <w:rFonts w:ascii="Times New Roman" w:eastAsia="Times New Roman" w:hAnsi="Times New Roman" w:cs="Times New Roman"/>
          <w:color w:val="333333"/>
          <w:lang w:eastAsia="pl-PL"/>
        </w:rPr>
        <w:t>Jeżeli nakazuje to rzeczywista potrzeba, wierny nie wyświęcony może zostać upoważniony przez biskupa, </w:t>
      </w:r>
      <w:r w:rsidRPr="00E520E5">
        <w:rPr>
          <w:rFonts w:ascii="Times New Roman" w:eastAsia="Times New Roman" w:hAnsi="Times New Roman" w:cs="Times New Roman"/>
          <w:i/>
          <w:iCs/>
          <w:color w:val="333333"/>
          <w:lang w:eastAsia="pl-PL"/>
        </w:rPr>
        <w:t xml:space="preserve">ad </w:t>
      </w:r>
      <w:proofErr w:type="spellStart"/>
      <w:r w:rsidRPr="00E520E5">
        <w:rPr>
          <w:rFonts w:ascii="Times New Roman" w:eastAsia="Times New Roman" w:hAnsi="Times New Roman" w:cs="Times New Roman"/>
          <w:i/>
          <w:iCs/>
          <w:color w:val="333333"/>
          <w:lang w:eastAsia="pl-PL"/>
        </w:rPr>
        <w:t>actum</w:t>
      </w:r>
      <w:proofErr w:type="spellEnd"/>
      <w:r w:rsidRPr="00E520E5">
        <w:rPr>
          <w:rFonts w:ascii="Times New Roman" w:eastAsia="Times New Roman" w:hAnsi="Times New Roman" w:cs="Times New Roman"/>
          <w:i/>
          <w:iCs/>
          <w:color w:val="333333"/>
          <w:lang w:eastAsia="pl-PL"/>
        </w:rPr>
        <w:t xml:space="preserve"> vel ad </w:t>
      </w:r>
      <w:proofErr w:type="spellStart"/>
      <w:r w:rsidRPr="00E520E5">
        <w:rPr>
          <w:rFonts w:ascii="Times New Roman" w:eastAsia="Times New Roman" w:hAnsi="Times New Roman" w:cs="Times New Roman"/>
          <w:i/>
          <w:iCs/>
          <w:color w:val="333333"/>
          <w:lang w:eastAsia="pl-PL"/>
        </w:rPr>
        <w:t>tempus</w:t>
      </w:r>
      <w:proofErr w:type="spellEnd"/>
      <w:r w:rsidRPr="00E520E5">
        <w:rPr>
          <w:rFonts w:ascii="Times New Roman" w:eastAsia="Times New Roman" w:hAnsi="Times New Roman" w:cs="Times New Roman"/>
          <w:color w:val="333333"/>
          <w:lang w:eastAsia="pl-PL"/>
        </w:rPr>
        <w:t> lub też na stałe, aby jako szafarz nadzwyczajny rozdzielał Komunię św. także poza liturgią eucharystyczną, stosując przy tym specjalną liturgiczną formułę błogosławieństwa. W wyjątkowych i nieprzewidzianych przypadkach takiego upoważnienia może udzielić </w:t>
      </w:r>
      <w:r w:rsidRPr="00E520E5">
        <w:rPr>
          <w:rFonts w:ascii="Times New Roman" w:eastAsia="Times New Roman" w:hAnsi="Times New Roman" w:cs="Times New Roman"/>
          <w:i/>
          <w:iCs/>
          <w:color w:val="333333"/>
          <w:lang w:eastAsia="pl-PL"/>
        </w:rPr>
        <w:t xml:space="preserve">ad </w:t>
      </w:r>
      <w:proofErr w:type="spellStart"/>
      <w:r w:rsidRPr="00E520E5">
        <w:rPr>
          <w:rFonts w:ascii="Times New Roman" w:eastAsia="Times New Roman" w:hAnsi="Times New Roman" w:cs="Times New Roman"/>
          <w:i/>
          <w:iCs/>
          <w:color w:val="333333"/>
          <w:lang w:eastAsia="pl-PL"/>
        </w:rPr>
        <w:t>actum</w:t>
      </w:r>
      <w:proofErr w:type="spellEnd"/>
      <w:r w:rsidRPr="00E520E5">
        <w:rPr>
          <w:rFonts w:ascii="Times New Roman" w:eastAsia="Times New Roman" w:hAnsi="Times New Roman" w:cs="Times New Roman"/>
          <w:color w:val="333333"/>
          <w:lang w:eastAsia="pl-PL"/>
        </w:rPr>
        <w:t> kapłan przewodniczący liturgii eucharystycznej</w:t>
      </w:r>
      <w:hyperlink r:id="rId7" w:anchor="prz4" w:history="1">
        <w:r w:rsidRPr="00E520E5">
          <w:rPr>
            <w:rFonts w:ascii="Times New Roman" w:eastAsia="Times New Roman" w:hAnsi="Times New Roman" w:cs="Times New Roman"/>
            <w:b/>
            <w:bCs/>
            <w:color w:val="000080"/>
            <w:u w:val="single"/>
            <w:vertAlign w:val="superscript"/>
            <w:lang w:eastAsia="pl-PL"/>
          </w:rPr>
          <w:t>4</w:t>
        </w:r>
      </w:hyperlink>
      <w:r w:rsidRPr="00E520E5">
        <w:rPr>
          <w:rFonts w:ascii="Times New Roman" w:eastAsia="Times New Roman" w:hAnsi="Times New Roman" w:cs="Times New Roman"/>
          <w:color w:val="333333"/>
          <w:lang w:eastAsia="pl-PL"/>
        </w:rPr>
        <w:t>.</w:t>
      </w:r>
    </w:p>
    <w:p w:rsidR="00E520E5" w:rsidRDefault="008A0D35" w:rsidP="008A0D35">
      <w:pPr>
        <w:shd w:val="clear" w:color="auto" w:fill="FFFFFF"/>
        <w:spacing w:before="120" w:after="120" w:line="276" w:lineRule="auto"/>
        <w:jc w:val="both"/>
        <w:rPr>
          <w:rFonts w:ascii="Times New Roman" w:eastAsia="Times New Roman" w:hAnsi="Times New Roman" w:cs="Times New Roman"/>
          <w:color w:val="333333"/>
          <w:lang w:eastAsia="pl-PL"/>
        </w:rPr>
      </w:pPr>
      <w:r w:rsidRPr="00E520E5">
        <w:rPr>
          <w:rFonts w:ascii="Times New Roman" w:eastAsia="Times New Roman" w:hAnsi="Times New Roman" w:cs="Times New Roman"/>
          <w:b/>
          <w:bCs/>
          <w:color w:val="333333"/>
          <w:lang w:eastAsia="pl-PL"/>
        </w:rPr>
        <w:t>§ 2.</w:t>
      </w:r>
      <w:r w:rsidRPr="00E520E5">
        <w:rPr>
          <w:rFonts w:ascii="Times New Roman" w:eastAsia="Times New Roman" w:hAnsi="Times New Roman" w:cs="Times New Roman"/>
          <w:color w:val="333333"/>
          <w:lang w:eastAsia="pl-PL"/>
        </w:rPr>
        <w:t> Szafarz nadzwyczajny może rozdzielać Komunię św. podczas liturgii eucharystycznej tylko w sytuacji, gdy szafarze wyświęceni są nieobecni albo gdy ci ostatni, chociaż obecni, nie mogą tego czynić z powodu jakichś rzeczywistych przeszkód</w:t>
      </w:r>
      <w:hyperlink r:id="rId8" w:anchor="prz5" w:history="1">
        <w:r w:rsidRPr="00E520E5">
          <w:rPr>
            <w:rFonts w:ascii="Times New Roman" w:eastAsia="Times New Roman" w:hAnsi="Times New Roman" w:cs="Times New Roman"/>
            <w:b/>
            <w:bCs/>
            <w:color w:val="000080"/>
            <w:u w:val="single"/>
            <w:vertAlign w:val="superscript"/>
            <w:lang w:eastAsia="pl-PL"/>
          </w:rPr>
          <w:t>5</w:t>
        </w:r>
      </w:hyperlink>
      <w:r w:rsidRPr="00E520E5">
        <w:rPr>
          <w:rFonts w:ascii="Times New Roman" w:eastAsia="Times New Roman" w:hAnsi="Times New Roman" w:cs="Times New Roman"/>
          <w:color w:val="333333"/>
          <w:lang w:eastAsia="pl-PL"/>
        </w:rPr>
        <w:t>. Może pełnić tę funkcję także wówczas, gdy z powodu szczególnie licznego udziału wiernych, którzy pragną przyjąć Komunię św., oraz braku dostatecznej liczby szafarzy wyświęconych liturgia eucharystyczna nadmiernie by się przedłużyła</w:t>
      </w:r>
      <w:hyperlink r:id="rId9" w:anchor="prz6" w:history="1">
        <w:r w:rsidRPr="00E520E5">
          <w:rPr>
            <w:rFonts w:ascii="Times New Roman" w:eastAsia="Times New Roman" w:hAnsi="Times New Roman" w:cs="Times New Roman"/>
            <w:b/>
            <w:bCs/>
            <w:color w:val="000080"/>
            <w:u w:val="single"/>
            <w:vertAlign w:val="superscript"/>
            <w:lang w:eastAsia="pl-PL"/>
          </w:rPr>
          <w:t>6</w:t>
        </w:r>
      </w:hyperlink>
      <w:r w:rsidRPr="00E520E5">
        <w:rPr>
          <w:rFonts w:ascii="Times New Roman" w:eastAsia="Times New Roman" w:hAnsi="Times New Roman" w:cs="Times New Roman"/>
          <w:color w:val="333333"/>
          <w:lang w:eastAsia="pl-PL"/>
        </w:rPr>
        <w:t>.</w:t>
      </w:r>
    </w:p>
    <w:p w:rsidR="008A0D35" w:rsidRPr="00E520E5" w:rsidRDefault="008A0D35" w:rsidP="008A0D35">
      <w:pPr>
        <w:shd w:val="clear" w:color="auto" w:fill="FFFFFF"/>
        <w:spacing w:before="120" w:after="120" w:line="276" w:lineRule="auto"/>
        <w:jc w:val="both"/>
        <w:rPr>
          <w:rFonts w:ascii="Times New Roman" w:eastAsia="Times New Roman" w:hAnsi="Times New Roman" w:cs="Times New Roman"/>
          <w:color w:val="333333"/>
          <w:lang w:eastAsia="pl-PL"/>
        </w:rPr>
      </w:pPr>
      <w:r w:rsidRPr="00E520E5">
        <w:rPr>
          <w:rFonts w:ascii="Times New Roman" w:eastAsia="Times New Roman" w:hAnsi="Times New Roman" w:cs="Times New Roman"/>
          <w:color w:val="333333"/>
          <w:lang w:eastAsia="pl-PL"/>
        </w:rPr>
        <w:t>Funkcja ta ma charakter zastępczy i nadzwyczajny</w:t>
      </w:r>
      <w:hyperlink r:id="rId10" w:anchor="prz7" w:history="1">
        <w:r w:rsidRPr="00E520E5">
          <w:rPr>
            <w:rFonts w:ascii="Times New Roman" w:eastAsia="Times New Roman" w:hAnsi="Times New Roman" w:cs="Times New Roman"/>
            <w:b/>
            <w:bCs/>
            <w:color w:val="000080"/>
            <w:u w:val="single"/>
            <w:vertAlign w:val="superscript"/>
            <w:lang w:eastAsia="pl-PL"/>
          </w:rPr>
          <w:t>7</w:t>
        </w:r>
      </w:hyperlink>
      <w:r w:rsidRPr="00E520E5">
        <w:rPr>
          <w:rFonts w:ascii="Times New Roman" w:eastAsia="Times New Roman" w:hAnsi="Times New Roman" w:cs="Times New Roman"/>
          <w:color w:val="333333"/>
          <w:lang w:eastAsia="pl-PL"/>
        </w:rPr>
        <w:t xml:space="preserve"> oraz powinna być wykonywana zgodnie z przepisami prawa. W związku z tym jest wskazane, aby biskup diecezjalny wydał specjalne przepisy, pozostające w całkowitej zgodzie z powszechnym prawodawstwem Kościoła, które uregulują sprawy związane ze sprawowaniem tej funkcji. Należy też zadbać, aby wierny do niej wyznaczony został należycie pouczony na temat doktryny eucharystycznej, charakteru swojej posługi, przepisów, jakich należy przestrzegać ze względu na cześć należną tak wzniosłemu </w:t>
      </w:r>
      <w:proofErr w:type="gramStart"/>
      <w:r w:rsidRPr="00E520E5">
        <w:rPr>
          <w:rFonts w:ascii="Times New Roman" w:eastAsia="Times New Roman" w:hAnsi="Times New Roman" w:cs="Times New Roman"/>
          <w:color w:val="333333"/>
          <w:lang w:eastAsia="pl-PL"/>
        </w:rPr>
        <w:t>Sakramentowi,</w:t>
      </w:r>
      <w:proofErr w:type="gramEnd"/>
      <w:r w:rsidRPr="00E520E5">
        <w:rPr>
          <w:rFonts w:ascii="Times New Roman" w:eastAsia="Times New Roman" w:hAnsi="Times New Roman" w:cs="Times New Roman"/>
          <w:color w:val="333333"/>
          <w:lang w:eastAsia="pl-PL"/>
        </w:rPr>
        <w:t xml:space="preserve"> oraz uregulowań prawnych dotyczących dopuszczania do Komunii.</w:t>
      </w:r>
    </w:p>
    <w:p w:rsidR="008A0D35" w:rsidRPr="00E520E5" w:rsidRDefault="008A0D35" w:rsidP="008A0D35">
      <w:pPr>
        <w:shd w:val="clear" w:color="auto" w:fill="FFFFFF"/>
        <w:spacing w:before="120" w:after="120" w:line="276" w:lineRule="auto"/>
        <w:jc w:val="both"/>
        <w:rPr>
          <w:rFonts w:ascii="Times New Roman" w:eastAsia="Times New Roman" w:hAnsi="Times New Roman" w:cs="Times New Roman"/>
          <w:color w:val="333333"/>
          <w:lang w:eastAsia="pl-PL"/>
        </w:rPr>
      </w:pPr>
      <w:r w:rsidRPr="00E520E5">
        <w:rPr>
          <w:rFonts w:ascii="Times New Roman" w:eastAsia="Times New Roman" w:hAnsi="Times New Roman" w:cs="Times New Roman"/>
          <w:color w:val="333333"/>
          <w:lang w:eastAsia="pl-PL"/>
        </w:rPr>
        <w:t>Aby nie wywoływać nieporozumień, należy unikać i zaprzestać określonych praktyk, które pojawiły się od pewnego czasu w niektórych Kościołach partykularnych, takich jak:</w:t>
      </w:r>
    </w:p>
    <w:p w:rsidR="008A0D35" w:rsidRPr="00E520E5" w:rsidRDefault="008A0D35" w:rsidP="008A0D35">
      <w:pPr>
        <w:shd w:val="clear" w:color="auto" w:fill="FFFFFF"/>
        <w:spacing w:before="120" w:after="120" w:line="276" w:lineRule="auto"/>
        <w:jc w:val="both"/>
        <w:rPr>
          <w:rFonts w:ascii="Times New Roman" w:eastAsia="Times New Roman" w:hAnsi="Times New Roman" w:cs="Times New Roman"/>
          <w:color w:val="333333"/>
          <w:lang w:eastAsia="pl-PL"/>
        </w:rPr>
      </w:pPr>
      <w:r w:rsidRPr="00E520E5">
        <w:rPr>
          <w:rFonts w:ascii="Times New Roman" w:eastAsia="Times New Roman" w:hAnsi="Times New Roman" w:cs="Times New Roman"/>
          <w:color w:val="333333"/>
          <w:lang w:eastAsia="pl-PL"/>
        </w:rPr>
        <w:t>- udzielanie komunii samemu sobie, jak gdyby się było koncelebransem;</w:t>
      </w:r>
    </w:p>
    <w:p w:rsidR="008A0D35" w:rsidRPr="00E520E5" w:rsidRDefault="008A0D35" w:rsidP="008A0D35">
      <w:pPr>
        <w:shd w:val="clear" w:color="auto" w:fill="FFFFFF"/>
        <w:spacing w:before="120" w:after="120" w:line="276" w:lineRule="auto"/>
        <w:jc w:val="both"/>
        <w:rPr>
          <w:rFonts w:ascii="Times New Roman" w:eastAsia="Times New Roman" w:hAnsi="Times New Roman" w:cs="Times New Roman"/>
          <w:color w:val="333333"/>
          <w:lang w:eastAsia="pl-PL"/>
        </w:rPr>
      </w:pPr>
      <w:r w:rsidRPr="00E520E5">
        <w:rPr>
          <w:rFonts w:ascii="Times New Roman" w:eastAsia="Times New Roman" w:hAnsi="Times New Roman" w:cs="Times New Roman"/>
          <w:color w:val="333333"/>
          <w:lang w:eastAsia="pl-PL"/>
        </w:rPr>
        <w:lastRenderedPageBreak/>
        <w:t>- włączanie do obrzędu odnowy przyrzeczeń kapłańskich podczas Mszy św. Krzyżma w Wielki Czwartek także innych kategorii wiernych, którzy odnawiają śluby zakonne lub zostają mianowani nadzwyczajnymi szafarzami Komunii św.</w:t>
      </w:r>
    </w:p>
    <w:p w:rsidR="008A0D35" w:rsidRPr="00E520E5" w:rsidRDefault="008A0D35" w:rsidP="008A0D35">
      <w:pPr>
        <w:shd w:val="clear" w:color="auto" w:fill="FFFFFF"/>
        <w:spacing w:before="120" w:after="120" w:line="276" w:lineRule="auto"/>
        <w:jc w:val="both"/>
        <w:rPr>
          <w:rFonts w:ascii="Times New Roman" w:eastAsia="Times New Roman" w:hAnsi="Times New Roman" w:cs="Times New Roman"/>
          <w:color w:val="787878"/>
          <w:lang w:eastAsia="pl-PL"/>
        </w:rPr>
      </w:pPr>
      <w:r w:rsidRPr="00E520E5">
        <w:rPr>
          <w:rFonts w:ascii="Times New Roman" w:eastAsia="Times New Roman" w:hAnsi="Times New Roman" w:cs="Times New Roman"/>
          <w:color w:val="333333"/>
          <w:lang w:eastAsia="pl-PL"/>
        </w:rPr>
        <w:t>- stałe korzystanie z pomocy nadzwyczajnych szafarzy podczas Mszy św. i uzasadnianie tego dowolnie rozszerzonym pojęciem «licznego udziału wiernych».</w:t>
      </w:r>
    </w:p>
    <w:p w:rsidR="008A0D35" w:rsidRPr="00E520E5" w:rsidRDefault="008A0D35" w:rsidP="008A0D35">
      <w:pPr>
        <w:shd w:val="clear" w:color="auto" w:fill="FFFFFF"/>
        <w:spacing w:line="360" w:lineRule="atLeast"/>
        <w:jc w:val="right"/>
        <w:rPr>
          <w:rFonts w:ascii="Times New Roman" w:eastAsia="Times New Roman" w:hAnsi="Times New Roman" w:cs="Times New Roman"/>
          <w:color w:val="333333"/>
          <w:lang w:eastAsia="pl-PL"/>
        </w:rPr>
      </w:pPr>
      <w:r w:rsidRPr="00E520E5">
        <w:rPr>
          <w:rFonts w:ascii="Times New Roman" w:eastAsia="Times New Roman" w:hAnsi="Times New Roman" w:cs="Times New Roman"/>
          <w:color w:val="333333"/>
          <w:lang w:eastAsia="pl-PL"/>
        </w:rPr>
        <w:t>Źródło: </w:t>
      </w:r>
      <w:hyperlink r:id="rId11" w:tgtFrame="_blank" w:history="1">
        <w:r w:rsidRPr="00E520E5">
          <w:rPr>
            <w:rFonts w:ascii="Times New Roman" w:eastAsia="Times New Roman" w:hAnsi="Times New Roman" w:cs="Times New Roman"/>
            <w:color w:val="B20808"/>
            <w:u w:val="single"/>
            <w:lang w:eastAsia="pl-PL"/>
          </w:rPr>
          <w:t>opoka.org.pl</w:t>
        </w:r>
      </w:hyperlink>
    </w:p>
    <w:tbl>
      <w:tblPr>
        <w:tblW w:w="5000" w:type="pct"/>
        <w:jc w:val="center"/>
        <w:tblCellSpacing w:w="15" w:type="dxa"/>
        <w:tblCellMar>
          <w:left w:w="0" w:type="dxa"/>
          <w:right w:w="0" w:type="dxa"/>
        </w:tblCellMar>
        <w:tblLook w:val="04A0" w:firstRow="1" w:lastRow="0" w:firstColumn="1" w:lastColumn="0" w:noHBand="0" w:noVBand="1"/>
      </w:tblPr>
      <w:tblGrid>
        <w:gridCol w:w="135"/>
        <w:gridCol w:w="8931"/>
      </w:tblGrid>
      <w:tr w:rsidR="008A0D35" w:rsidRPr="00E520E5" w:rsidTr="008A0D35">
        <w:trPr>
          <w:tblCellSpacing w:w="15" w:type="dxa"/>
          <w:jc w:val="center"/>
        </w:trPr>
        <w:tc>
          <w:tcPr>
            <w:tcW w:w="0" w:type="auto"/>
            <w:gridSpan w:val="2"/>
            <w:vAlign w:val="center"/>
            <w:hideMark/>
          </w:tcPr>
          <w:p w:rsidR="008A0D35" w:rsidRPr="00E520E5" w:rsidRDefault="008A0D35" w:rsidP="008A0D35">
            <w:pPr>
              <w:spacing w:after="240"/>
              <w:rPr>
                <w:rFonts w:ascii="Times New Roman" w:eastAsia="Times New Roman" w:hAnsi="Times New Roman" w:cs="Times New Roman"/>
                <w:lang w:eastAsia="pl-PL"/>
              </w:rPr>
            </w:pPr>
            <w:r w:rsidRPr="00E520E5">
              <w:rPr>
                <w:rFonts w:ascii="Times New Roman" w:eastAsia="Times New Roman" w:hAnsi="Times New Roman" w:cs="Times New Roman"/>
                <w:b/>
                <w:bCs/>
                <w:lang w:eastAsia="pl-PL"/>
              </w:rPr>
              <w:t>Przypisy:</w:t>
            </w:r>
          </w:p>
        </w:tc>
      </w:tr>
      <w:tr w:rsidR="008A0D35" w:rsidRPr="00E520E5" w:rsidTr="008A0D35">
        <w:trPr>
          <w:tblCellSpacing w:w="15" w:type="dxa"/>
          <w:jc w:val="center"/>
        </w:trPr>
        <w:tc>
          <w:tcPr>
            <w:tcW w:w="50" w:type="pct"/>
            <w:hideMark/>
          </w:tcPr>
          <w:p w:rsidR="008A0D35" w:rsidRPr="00E520E5" w:rsidRDefault="008A0D35" w:rsidP="008A0D35">
            <w:pPr>
              <w:rPr>
                <w:rFonts w:ascii="Times New Roman" w:eastAsia="Times New Roman" w:hAnsi="Times New Roman" w:cs="Times New Roman"/>
                <w:lang w:eastAsia="pl-PL"/>
              </w:rPr>
            </w:pPr>
            <w:bookmarkStart w:id="0" w:name="prz1"/>
            <w:r w:rsidRPr="00E520E5">
              <w:rPr>
                <w:rFonts w:ascii="Times New Roman" w:eastAsia="Times New Roman" w:hAnsi="Times New Roman" w:cs="Times New Roman"/>
                <w:b/>
                <w:bCs/>
                <w:color w:val="000080"/>
                <w:vertAlign w:val="superscript"/>
                <w:lang w:eastAsia="pl-PL"/>
              </w:rPr>
              <w:t>1</w:t>
            </w:r>
            <w:bookmarkEnd w:id="0"/>
          </w:p>
        </w:tc>
        <w:tc>
          <w:tcPr>
            <w:tcW w:w="0" w:type="auto"/>
            <w:vAlign w:val="center"/>
            <w:hideMark/>
          </w:tcPr>
          <w:p w:rsidR="008A0D35" w:rsidRPr="00E520E5" w:rsidRDefault="008A0D35" w:rsidP="008A0D35">
            <w:pPr>
              <w:jc w:val="both"/>
              <w:rPr>
                <w:rFonts w:ascii="Times New Roman" w:eastAsia="Times New Roman" w:hAnsi="Times New Roman" w:cs="Times New Roman"/>
                <w:lang w:eastAsia="pl-PL"/>
              </w:rPr>
            </w:pPr>
            <w:r w:rsidRPr="00E520E5">
              <w:rPr>
                <w:rFonts w:ascii="Times New Roman" w:eastAsia="Times New Roman" w:hAnsi="Times New Roman" w:cs="Times New Roman"/>
                <w:lang w:eastAsia="pl-PL"/>
              </w:rPr>
              <w:t>Kongregacja ds. Dyscypliny Sakramentów, instrukcja </w:t>
            </w:r>
            <w:proofErr w:type="spellStart"/>
            <w:r w:rsidRPr="00E520E5">
              <w:rPr>
                <w:rFonts w:ascii="Times New Roman" w:eastAsia="Times New Roman" w:hAnsi="Times New Roman" w:cs="Times New Roman"/>
                <w:i/>
                <w:iCs/>
                <w:lang w:eastAsia="pl-PL"/>
              </w:rPr>
              <w:t>Immensæ</w:t>
            </w:r>
            <w:proofErr w:type="spellEnd"/>
            <w:r w:rsidRPr="00E520E5">
              <w:rPr>
                <w:rFonts w:ascii="Times New Roman" w:eastAsia="Times New Roman" w:hAnsi="Times New Roman" w:cs="Times New Roman"/>
                <w:i/>
                <w:iCs/>
                <w:lang w:eastAsia="pl-PL"/>
              </w:rPr>
              <w:t xml:space="preserve"> </w:t>
            </w:r>
            <w:proofErr w:type="spellStart"/>
            <w:r w:rsidRPr="00E520E5">
              <w:rPr>
                <w:rFonts w:ascii="Times New Roman" w:eastAsia="Times New Roman" w:hAnsi="Times New Roman" w:cs="Times New Roman"/>
                <w:i/>
                <w:iCs/>
                <w:lang w:eastAsia="pl-PL"/>
              </w:rPr>
              <w:t>caritatis</w:t>
            </w:r>
            <w:proofErr w:type="spellEnd"/>
            <w:r w:rsidRPr="00E520E5">
              <w:rPr>
                <w:rFonts w:ascii="Times New Roman" w:eastAsia="Times New Roman" w:hAnsi="Times New Roman" w:cs="Times New Roman"/>
                <w:lang w:eastAsia="pl-PL"/>
              </w:rPr>
              <w:t> z 29 stycznia 1973 r.</w:t>
            </w:r>
          </w:p>
        </w:tc>
      </w:tr>
      <w:tr w:rsidR="008A0D35" w:rsidRPr="00E520E5" w:rsidTr="008A0D35">
        <w:trPr>
          <w:tblCellSpacing w:w="15" w:type="dxa"/>
          <w:jc w:val="center"/>
        </w:trPr>
        <w:tc>
          <w:tcPr>
            <w:tcW w:w="50" w:type="pct"/>
            <w:hideMark/>
          </w:tcPr>
          <w:p w:rsidR="008A0D35" w:rsidRPr="00E520E5" w:rsidRDefault="008A0D35" w:rsidP="008A0D35">
            <w:pPr>
              <w:rPr>
                <w:rFonts w:ascii="Times New Roman" w:eastAsia="Times New Roman" w:hAnsi="Times New Roman" w:cs="Times New Roman"/>
                <w:lang w:eastAsia="pl-PL"/>
              </w:rPr>
            </w:pPr>
            <w:bookmarkStart w:id="1" w:name="prz2"/>
            <w:r w:rsidRPr="00E520E5">
              <w:rPr>
                <w:rFonts w:ascii="Times New Roman" w:eastAsia="Times New Roman" w:hAnsi="Times New Roman" w:cs="Times New Roman"/>
                <w:b/>
                <w:bCs/>
                <w:color w:val="000080"/>
                <w:vertAlign w:val="superscript"/>
                <w:lang w:eastAsia="pl-PL"/>
              </w:rPr>
              <w:t>2</w:t>
            </w:r>
            <w:bookmarkEnd w:id="1"/>
          </w:p>
        </w:tc>
        <w:tc>
          <w:tcPr>
            <w:tcW w:w="0" w:type="auto"/>
            <w:vAlign w:val="center"/>
            <w:hideMark/>
          </w:tcPr>
          <w:p w:rsidR="008A0D35" w:rsidRPr="00E520E5" w:rsidRDefault="008A0D35" w:rsidP="008A0D35">
            <w:pPr>
              <w:jc w:val="both"/>
              <w:rPr>
                <w:rFonts w:ascii="Times New Roman" w:eastAsia="Times New Roman" w:hAnsi="Times New Roman" w:cs="Times New Roman"/>
                <w:lang w:eastAsia="pl-PL"/>
              </w:rPr>
            </w:pPr>
            <w:r w:rsidRPr="00E520E5">
              <w:rPr>
                <w:rFonts w:ascii="Times New Roman" w:eastAsia="Times New Roman" w:hAnsi="Times New Roman" w:cs="Times New Roman"/>
                <w:lang w:eastAsia="pl-PL"/>
              </w:rPr>
              <w:t xml:space="preserve">por. KPK, 910, § 1, por. także Jan Paweł II, list </w:t>
            </w:r>
            <w:proofErr w:type="spellStart"/>
            <w:r w:rsidRPr="00E520E5">
              <w:rPr>
                <w:rFonts w:ascii="Times New Roman" w:eastAsia="Times New Roman" w:hAnsi="Times New Roman" w:cs="Times New Roman"/>
                <w:lang w:eastAsia="pl-PL"/>
              </w:rPr>
              <w:t>Dominicæ</w:t>
            </w:r>
            <w:proofErr w:type="spellEnd"/>
            <w:r w:rsidRPr="00E520E5">
              <w:rPr>
                <w:rFonts w:ascii="Times New Roman" w:eastAsia="Times New Roman" w:hAnsi="Times New Roman" w:cs="Times New Roman"/>
                <w:lang w:eastAsia="pl-PL"/>
              </w:rPr>
              <w:t xml:space="preserve"> </w:t>
            </w:r>
            <w:proofErr w:type="spellStart"/>
            <w:r w:rsidRPr="00E520E5">
              <w:rPr>
                <w:rFonts w:ascii="Times New Roman" w:eastAsia="Times New Roman" w:hAnsi="Times New Roman" w:cs="Times New Roman"/>
                <w:lang w:eastAsia="pl-PL"/>
              </w:rPr>
              <w:t>Cenæ</w:t>
            </w:r>
            <w:proofErr w:type="spellEnd"/>
            <w:r w:rsidRPr="00E520E5">
              <w:rPr>
                <w:rFonts w:ascii="Times New Roman" w:eastAsia="Times New Roman" w:hAnsi="Times New Roman" w:cs="Times New Roman"/>
                <w:lang w:eastAsia="pl-PL"/>
              </w:rPr>
              <w:t xml:space="preserve"> z 24 lutego 1980 r., 11</w:t>
            </w:r>
          </w:p>
        </w:tc>
      </w:tr>
      <w:tr w:rsidR="008A0D35" w:rsidRPr="00E520E5" w:rsidTr="008A0D35">
        <w:trPr>
          <w:tblCellSpacing w:w="15" w:type="dxa"/>
          <w:jc w:val="center"/>
        </w:trPr>
        <w:tc>
          <w:tcPr>
            <w:tcW w:w="50" w:type="pct"/>
            <w:hideMark/>
          </w:tcPr>
          <w:p w:rsidR="008A0D35" w:rsidRPr="00E520E5" w:rsidRDefault="008A0D35" w:rsidP="008A0D35">
            <w:pPr>
              <w:rPr>
                <w:rFonts w:ascii="Times New Roman" w:eastAsia="Times New Roman" w:hAnsi="Times New Roman" w:cs="Times New Roman"/>
                <w:lang w:eastAsia="pl-PL"/>
              </w:rPr>
            </w:pPr>
            <w:bookmarkStart w:id="2" w:name="prz3"/>
            <w:r w:rsidRPr="00E520E5">
              <w:rPr>
                <w:rFonts w:ascii="Times New Roman" w:eastAsia="Times New Roman" w:hAnsi="Times New Roman" w:cs="Times New Roman"/>
                <w:b/>
                <w:bCs/>
                <w:color w:val="000080"/>
                <w:vertAlign w:val="superscript"/>
                <w:lang w:eastAsia="pl-PL"/>
              </w:rPr>
              <w:t>3</w:t>
            </w:r>
            <w:bookmarkEnd w:id="2"/>
          </w:p>
        </w:tc>
        <w:tc>
          <w:tcPr>
            <w:tcW w:w="0" w:type="auto"/>
            <w:vAlign w:val="center"/>
            <w:hideMark/>
          </w:tcPr>
          <w:p w:rsidR="008A0D35" w:rsidRPr="00E520E5" w:rsidRDefault="008A0D35" w:rsidP="008A0D35">
            <w:pPr>
              <w:jc w:val="both"/>
              <w:rPr>
                <w:rFonts w:ascii="Times New Roman" w:eastAsia="Times New Roman" w:hAnsi="Times New Roman" w:cs="Times New Roman"/>
                <w:lang w:eastAsia="pl-PL"/>
              </w:rPr>
            </w:pPr>
            <w:r w:rsidRPr="00E520E5">
              <w:rPr>
                <w:rFonts w:ascii="Times New Roman" w:eastAsia="Times New Roman" w:hAnsi="Times New Roman" w:cs="Times New Roman"/>
                <w:lang w:eastAsia="pl-PL"/>
              </w:rPr>
              <w:t>por. KPK, kan. 910, § 2</w:t>
            </w:r>
          </w:p>
        </w:tc>
      </w:tr>
      <w:tr w:rsidR="008A0D35" w:rsidRPr="00E520E5" w:rsidTr="008A0D35">
        <w:trPr>
          <w:tblCellSpacing w:w="15" w:type="dxa"/>
          <w:jc w:val="center"/>
        </w:trPr>
        <w:tc>
          <w:tcPr>
            <w:tcW w:w="50" w:type="pct"/>
            <w:hideMark/>
          </w:tcPr>
          <w:p w:rsidR="008A0D35" w:rsidRPr="00E520E5" w:rsidRDefault="008A0D35" w:rsidP="008A0D35">
            <w:pPr>
              <w:rPr>
                <w:rFonts w:ascii="Times New Roman" w:eastAsia="Times New Roman" w:hAnsi="Times New Roman" w:cs="Times New Roman"/>
                <w:lang w:eastAsia="pl-PL"/>
              </w:rPr>
            </w:pPr>
            <w:bookmarkStart w:id="3" w:name="prz4"/>
            <w:r w:rsidRPr="00E520E5">
              <w:rPr>
                <w:rFonts w:ascii="Times New Roman" w:eastAsia="Times New Roman" w:hAnsi="Times New Roman" w:cs="Times New Roman"/>
                <w:b/>
                <w:bCs/>
                <w:color w:val="000080"/>
                <w:vertAlign w:val="superscript"/>
                <w:lang w:eastAsia="pl-PL"/>
              </w:rPr>
              <w:t>4</w:t>
            </w:r>
            <w:bookmarkEnd w:id="3"/>
          </w:p>
        </w:tc>
        <w:tc>
          <w:tcPr>
            <w:tcW w:w="0" w:type="auto"/>
            <w:vAlign w:val="center"/>
            <w:hideMark/>
          </w:tcPr>
          <w:p w:rsidR="008A0D35" w:rsidRPr="00E520E5" w:rsidRDefault="008A0D35" w:rsidP="008A0D35">
            <w:pPr>
              <w:jc w:val="both"/>
              <w:rPr>
                <w:rFonts w:ascii="Times New Roman" w:eastAsia="Times New Roman" w:hAnsi="Times New Roman" w:cs="Times New Roman"/>
                <w:lang w:val="en-US" w:eastAsia="pl-PL"/>
              </w:rPr>
            </w:pPr>
            <w:r w:rsidRPr="00E520E5">
              <w:rPr>
                <w:rFonts w:ascii="Times New Roman" w:eastAsia="Times New Roman" w:hAnsi="Times New Roman" w:cs="Times New Roman"/>
                <w:lang w:val="en-US" w:eastAsia="pl-PL"/>
              </w:rPr>
              <w:t xml:space="preserve">por. </w:t>
            </w:r>
            <w:proofErr w:type="spellStart"/>
            <w:r w:rsidRPr="00E520E5">
              <w:rPr>
                <w:rFonts w:ascii="Times New Roman" w:eastAsia="Times New Roman" w:hAnsi="Times New Roman" w:cs="Times New Roman"/>
                <w:lang w:val="en-US" w:eastAsia="pl-PL"/>
              </w:rPr>
              <w:t>Kongr</w:t>
            </w:r>
            <w:proofErr w:type="spellEnd"/>
            <w:r w:rsidRPr="00E520E5">
              <w:rPr>
                <w:rFonts w:ascii="Times New Roman" w:eastAsia="Times New Roman" w:hAnsi="Times New Roman" w:cs="Times New Roman"/>
                <w:lang w:val="en-US" w:eastAsia="pl-PL"/>
              </w:rPr>
              <w:t xml:space="preserve">. ds. </w:t>
            </w:r>
            <w:proofErr w:type="spellStart"/>
            <w:r w:rsidRPr="00E520E5">
              <w:rPr>
                <w:rFonts w:ascii="Times New Roman" w:eastAsia="Times New Roman" w:hAnsi="Times New Roman" w:cs="Times New Roman"/>
                <w:lang w:val="en-US" w:eastAsia="pl-PL"/>
              </w:rPr>
              <w:t>Dyscypliny</w:t>
            </w:r>
            <w:proofErr w:type="spellEnd"/>
            <w:r w:rsidRPr="00E520E5">
              <w:rPr>
                <w:rFonts w:ascii="Times New Roman" w:eastAsia="Times New Roman" w:hAnsi="Times New Roman" w:cs="Times New Roman"/>
                <w:lang w:val="en-US" w:eastAsia="pl-PL"/>
              </w:rPr>
              <w:t xml:space="preserve"> </w:t>
            </w:r>
            <w:proofErr w:type="spellStart"/>
            <w:r w:rsidRPr="00E520E5">
              <w:rPr>
                <w:rFonts w:ascii="Times New Roman" w:eastAsia="Times New Roman" w:hAnsi="Times New Roman" w:cs="Times New Roman"/>
                <w:lang w:val="en-US" w:eastAsia="pl-PL"/>
              </w:rPr>
              <w:t>Sakramentów</w:t>
            </w:r>
            <w:proofErr w:type="spellEnd"/>
            <w:r w:rsidRPr="00E520E5">
              <w:rPr>
                <w:rFonts w:ascii="Times New Roman" w:eastAsia="Times New Roman" w:hAnsi="Times New Roman" w:cs="Times New Roman"/>
                <w:lang w:val="en-US" w:eastAsia="pl-PL"/>
              </w:rPr>
              <w:t xml:space="preserve">, </w:t>
            </w:r>
            <w:proofErr w:type="spellStart"/>
            <w:r w:rsidRPr="00E520E5">
              <w:rPr>
                <w:rFonts w:ascii="Times New Roman" w:eastAsia="Times New Roman" w:hAnsi="Times New Roman" w:cs="Times New Roman"/>
                <w:lang w:val="en-US" w:eastAsia="pl-PL"/>
              </w:rPr>
              <w:t>instrukcja</w:t>
            </w:r>
            <w:proofErr w:type="spellEnd"/>
            <w:r w:rsidRPr="00E520E5">
              <w:rPr>
                <w:rFonts w:ascii="Times New Roman" w:eastAsia="Times New Roman" w:hAnsi="Times New Roman" w:cs="Times New Roman"/>
                <w:lang w:val="en-US" w:eastAsia="pl-PL"/>
              </w:rPr>
              <w:t> </w:t>
            </w:r>
            <w:proofErr w:type="spellStart"/>
            <w:r w:rsidRPr="00E520E5">
              <w:rPr>
                <w:rFonts w:ascii="Times New Roman" w:eastAsia="Times New Roman" w:hAnsi="Times New Roman" w:cs="Times New Roman"/>
                <w:i/>
                <w:iCs/>
                <w:lang w:val="en-US" w:eastAsia="pl-PL"/>
              </w:rPr>
              <w:t>Immensæ</w:t>
            </w:r>
            <w:proofErr w:type="spellEnd"/>
            <w:r w:rsidRPr="00E520E5">
              <w:rPr>
                <w:rFonts w:ascii="Times New Roman" w:eastAsia="Times New Roman" w:hAnsi="Times New Roman" w:cs="Times New Roman"/>
                <w:i/>
                <w:iCs/>
                <w:lang w:val="en-US" w:eastAsia="pl-PL"/>
              </w:rPr>
              <w:t xml:space="preserve"> </w:t>
            </w:r>
            <w:proofErr w:type="spellStart"/>
            <w:r w:rsidRPr="00E520E5">
              <w:rPr>
                <w:rFonts w:ascii="Times New Roman" w:eastAsia="Times New Roman" w:hAnsi="Times New Roman" w:cs="Times New Roman"/>
                <w:i/>
                <w:iCs/>
                <w:lang w:val="en-US" w:eastAsia="pl-PL"/>
              </w:rPr>
              <w:t>caritatis</w:t>
            </w:r>
            <w:proofErr w:type="spellEnd"/>
            <w:r w:rsidRPr="00E520E5">
              <w:rPr>
                <w:rFonts w:ascii="Times New Roman" w:eastAsia="Times New Roman" w:hAnsi="Times New Roman" w:cs="Times New Roman"/>
                <w:i/>
                <w:iCs/>
                <w:lang w:val="en-US" w:eastAsia="pl-PL"/>
              </w:rPr>
              <w:t>,</w:t>
            </w:r>
            <w:r w:rsidRPr="00E520E5">
              <w:rPr>
                <w:rFonts w:ascii="Times New Roman" w:eastAsia="Times New Roman" w:hAnsi="Times New Roman" w:cs="Times New Roman"/>
                <w:lang w:val="en-US" w:eastAsia="pl-PL"/>
              </w:rPr>
              <w:t> 1; </w:t>
            </w:r>
            <w:proofErr w:type="spellStart"/>
            <w:r w:rsidRPr="00E520E5">
              <w:rPr>
                <w:rFonts w:ascii="Times New Roman" w:eastAsia="Times New Roman" w:hAnsi="Times New Roman" w:cs="Times New Roman"/>
                <w:i/>
                <w:iCs/>
                <w:lang w:val="en-US" w:eastAsia="pl-PL"/>
              </w:rPr>
              <w:t>Missale</w:t>
            </w:r>
            <w:proofErr w:type="spellEnd"/>
            <w:r w:rsidRPr="00E520E5">
              <w:rPr>
                <w:rFonts w:ascii="Times New Roman" w:eastAsia="Times New Roman" w:hAnsi="Times New Roman" w:cs="Times New Roman"/>
                <w:i/>
                <w:iCs/>
                <w:lang w:val="en-US" w:eastAsia="pl-PL"/>
              </w:rPr>
              <w:t xml:space="preserve"> </w:t>
            </w:r>
            <w:proofErr w:type="spellStart"/>
            <w:r w:rsidRPr="00E520E5">
              <w:rPr>
                <w:rFonts w:ascii="Times New Roman" w:eastAsia="Times New Roman" w:hAnsi="Times New Roman" w:cs="Times New Roman"/>
                <w:i/>
                <w:iCs/>
                <w:lang w:val="en-US" w:eastAsia="pl-PL"/>
              </w:rPr>
              <w:t>Romanum</w:t>
            </w:r>
            <w:proofErr w:type="spellEnd"/>
            <w:r w:rsidRPr="00E520E5">
              <w:rPr>
                <w:rFonts w:ascii="Times New Roman" w:eastAsia="Times New Roman" w:hAnsi="Times New Roman" w:cs="Times New Roman"/>
                <w:i/>
                <w:iCs/>
                <w:lang w:val="en-US" w:eastAsia="pl-PL"/>
              </w:rPr>
              <w:t xml:space="preserve">, Appendix: </w:t>
            </w:r>
            <w:proofErr w:type="spellStart"/>
            <w:r w:rsidRPr="00E520E5">
              <w:rPr>
                <w:rFonts w:ascii="Times New Roman" w:eastAsia="Times New Roman" w:hAnsi="Times New Roman" w:cs="Times New Roman"/>
                <w:i/>
                <w:iCs/>
                <w:lang w:val="en-US" w:eastAsia="pl-PL"/>
              </w:rPr>
              <w:t>Ritus</w:t>
            </w:r>
            <w:proofErr w:type="spellEnd"/>
            <w:r w:rsidRPr="00E520E5">
              <w:rPr>
                <w:rFonts w:ascii="Times New Roman" w:eastAsia="Times New Roman" w:hAnsi="Times New Roman" w:cs="Times New Roman"/>
                <w:i/>
                <w:iCs/>
                <w:lang w:val="en-US" w:eastAsia="pl-PL"/>
              </w:rPr>
              <w:t xml:space="preserve"> </w:t>
            </w:r>
            <w:proofErr w:type="spellStart"/>
            <w:r w:rsidRPr="00E520E5">
              <w:rPr>
                <w:rFonts w:ascii="Times New Roman" w:eastAsia="Times New Roman" w:hAnsi="Times New Roman" w:cs="Times New Roman"/>
                <w:i/>
                <w:iCs/>
                <w:lang w:val="en-US" w:eastAsia="pl-PL"/>
              </w:rPr>
              <w:t>ad</w:t>
            </w:r>
            <w:proofErr w:type="spellEnd"/>
            <w:r w:rsidRPr="00E520E5">
              <w:rPr>
                <w:rFonts w:ascii="Times New Roman" w:eastAsia="Times New Roman" w:hAnsi="Times New Roman" w:cs="Times New Roman"/>
                <w:i/>
                <w:iCs/>
                <w:lang w:val="en-US" w:eastAsia="pl-PL"/>
              </w:rPr>
              <w:t xml:space="preserve"> </w:t>
            </w:r>
            <w:proofErr w:type="spellStart"/>
            <w:r w:rsidRPr="00E520E5">
              <w:rPr>
                <w:rFonts w:ascii="Times New Roman" w:eastAsia="Times New Roman" w:hAnsi="Times New Roman" w:cs="Times New Roman"/>
                <w:i/>
                <w:iCs/>
                <w:lang w:val="en-US" w:eastAsia="pl-PL"/>
              </w:rPr>
              <w:t>deputandum</w:t>
            </w:r>
            <w:proofErr w:type="spellEnd"/>
            <w:r w:rsidRPr="00E520E5">
              <w:rPr>
                <w:rFonts w:ascii="Times New Roman" w:eastAsia="Times New Roman" w:hAnsi="Times New Roman" w:cs="Times New Roman"/>
                <w:i/>
                <w:iCs/>
                <w:lang w:val="en-US" w:eastAsia="pl-PL"/>
              </w:rPr>
              <w:t xml:space="preserve"> </w:t>
            </w:r>
            <w:proofErr w:type="spellStart"/>
            <w:r w:rsidRPr="00E520E5">
              <w:rPr>
                <w:rFonts w:ascii="Times New Roman" w:eastAsia="Times New Roman" w:hAnsi="Times New Roman" w:cs="Times New Roman"/>
                <w:i/>
                <w:iCs/>
                <w:lang w:val="en-US" w:eastAsia="pl-PL"/>
              </w:rPr>
              <w:t>ministrum</w:t>
            </w:r>
            <w:proofErr w:type="spellEnd"/>
            <w:r w:rsidRPr="00E520E5">
              <w:rPr>
                <w:rFonts w:ascii="Times New Roman" w:eastAsia="Times New Roman" w:hAnsi="Times New Roman" w:cs="Times New Roman"/>
                <w:i/>
                <w:iCs/>
                <w:lang w:val="en-US" w:eastAsia="pl-PL"/>
              </w:rPr>
              <w:t xml:space="preserve"> S. </w:t>
            </w:r>
            <w:proofErr w:type="spellStart"/>
            <w:r w:rsidRPr="00E520E5">
              <w:rPr>
                <w:rFonts w:ascii="Times New Roman" w:eastAsia="Times New Roman" w:hAnsi="Times New Roman" w:cs="Times New Roman"/>
                <w:i/>
                <w:iCs/>
                <w:lang w:val="en-US" w:eastAsia="pl-PL"/>
              </w:rPr>
              <w:t>Communionis</w:t>
            </w:r>
            <w:proofErr w:type="spellEnd"/>
            <w:r w:rsidRPr="00E520E5">
              <w:rPr>
                <w:rFonts w:ascii="Times New Roman" w:eastAsia="Times New Roman" w:hAnsi="Times New Roman" w:cs="Times New Roman"/>
                <w:i/>
                <w:iCs/>
                <w:lang w:val="en-US" w:eastAsia="pl-PL"/>
              </w:rPr>
              <w:t xml:space="preserve"> </w:t>
            </w:r>
            <w:proofErr w:type="spellStart"/>
            <w:r w:rsidRPr="00E520E5">
              <w:rPr>
                <w:rFonts w:ascii="Times New Roman" w:eastAsia="Times New Roman" w:hAnsi="Times New Roman" w:cs="Times New Roman"/>
                <w:i/>
                <w:iCs/>
                <w:lang w:val="en-US" w:eastAsia="pl-PL"/>
              </w:rPr>
              <w:t>ad</w:t>
            </w:r>
            <w:proofErr w:type="spellEnd"/>
            <w:r w:rsidRPr="00E520E5">
              <w:rPr>
                <w:rFonts w:ascii="Times New Roman" w:eastAsia="Times New Roman" w:hAnsi="Times New Roman" w:cs="Times New Roman"/>
                <w:i/>
                <w:iCs/>
                <w:lang w:val="en-US" w:eastAsia="pl-PL"/>
              </w:rPr>
              <w:t xml:space="preserve"> </w:t>
            </w:r>
            <w:proofErr w:type="spellStart"/>
            <w:r w:rsidRPr="00E520E5">
              <w:rPr>
                <w:rFonts w:ascii="Times New Roman" w:eastAsia="Times New Roman" w:hAnsi="Times New Roman" w:cs="Times New Roman"/>
                <w:i/>
                <w:iCs/>
                <w:lang w:val="en-US" w:eastAsia="pl-PL"/>
              </w:rPr>
              <w:t>actum</w:t>
            </w:r>
            <w:proofErr w:type="spellEnd"/>
            <w:r w:rsidRPr="00E520E5">
              <w:rPr>
                <w:rFonts w:ascii="Times New Roman" w:eastAsia="Times New Roman" w:hAnsi="Times New Roman" w:cs="Times New Roman"/>
                <w:i/>
                <w:iCs/>
                <w:lang w:val="en-US" w:eastAsia="pl-PL"/>
              </w:rPr>
              <w:t xml:space="preserve"> </w:t>
            </w:r>
            <w:proofErr w:type="spellStart"/>
            <w:r w:rsidRPr="00E520E5">
              <w:rPr>
                <w:rFonts w:ascii="Times New Roman" w:eastAsia="Times New Roman" w:hAnsi="Times New Roman" w:cs="Times New Roman"/>
                <w:i/>
                <w:iCs/>
                <w:lang w:val="en-US" w:eastAsia="pl-PL"/>
              </w:rPr>
              <w:t>distribuendæ</w:t>
            </w:r>
            <w:proofErr w:type="spellEnd"/>
            <w:r w:rsidRPr="00E520E5">
              <w:rPr>
                <w:rFonts w:ascii="Times New Roman" w:eastAsia="Times New Roman" w:hAnsi="Times New Roman" w:cs="Times New Roman"/>
                <w:i/>
                <w:iCs/>
                <w:lang w:val="en-US" w:eastAsia="pl-PL"/>
              </w:rPr>
              <w:t>;</w:t>
            </w:r>
            <w:r w:rsidRPr="00E520E5">
              <w:rPr>
                <w:rFonts w:ascii="Times New Roman" w:eastAsia="Times New Roman" w:hAnsi="Times New Roman" w:cs="Times New Roman"/>
                <w:lang w:val="en-US" w:eastAsia="pl-PL"/>
              </w:rPr>
              <w:t> </w:t>
            </w:r>
            <w:proofErr w:type="spellStart"/>
            <w:r w:rsidRPr="00E520E5">
              <w:rPr>
                <w:rFonts w:ascii="Times New Roman" w:eastAsia="Times New Roman" w:hAnsi="Times New Roman" w:cs="Times New Roman"/>
                <w:i/>
                <w:iCs/>
                <w:lang w:val="en-US" w:eastAsia="pl-PL"/>
              </w:rPr>
              <w:t>Pontificale</w:t>
            </w:r>
            <w:proofErr w:type="spellEnd"/>
            <w:r w:rsidRPr="00E520E5">
              <w:rPr>
                <w:rFonts w:ascii="Times New Roman" w:eastAsia="Times New Roman" w:hAnsi="Times New Roman" w:cs="Times New Roman"/>
                <w:i/>
                <w:iCs/>
                <w:lang w:val="en-US" w:eastAsia="pl-PL"/>
              </w:rPr>
              <w:t xml:space="preserve"> </w:t>
            </w:r>
            <w:proofErr w:type="spellStart"/>
            <w:r w:rsidRPr="00E520E5">
              <w:rPr>
                <w:rFonts w:ascii="Times New Roman" w:eastAsia="Times New Roman" w:hAnsi="Times New Roman" w:cs="Times New Roman"/>
                <w:i/>
                <w:iCs/>
                <w:lang w:val="en-US" w:eastAsia="pl-PL"/>
              </w:rPr>
              <w:t>Romanum</w:t>
            </w:r>
            <w:proofErr w:type="spellEnd"/>
            <w:r w:rsidRPr="00E520E5">
              <w:rPr>
                <w:rFonts w:ascii="Times New Roman" w:eastAsia="Times New Roman" w:hAnsi="Times New Roman" w:cs="Times New Roman"/>
                <w:i/>
                <w:iCs/>
                <w:lang w:val="en-US" w:eastAsia="pl-PL"/>
              </w:rPr>
              <w:t xml:space="preserve">: De </w:t>
            </w:r>
            <w:proofErr w:type="spellStart"/>
            <w:r w:rsidRPr="00E520E5">
              <w:rPr>
                <w:rFonts w:ascii="Times New Roman" w:eastAsia="Times New Roman" w:hAnsi="Times New Roman" w:cs="Times New Roman"/>
                <w:i/>
                <w:iCs/>
                <w:lang w:val="en-US" w:eastAsia="pl-PL"/>
              </w:rPr>
              <w:t>institutione</w:t>
            </w:r>
            <w:proofErr w:type="spellEnd"/>
            <w:r w:rsidRPr="00E520E5">
              <w:rPr>
                <w:rFonts w:ascii="Times New Roman" w:eastAsia="Times New Roman" w:hAnsi="Times New Roman" w:cs="Times New Roman"/>
                <w:i/>
                <w:iCs/>
                <w:lang w:val="en-US" w:eastAsia="pl-PL"/>
              </w:rPr>
              <w:t xml:space="preserve"> </w:t>
            </w:r>
            <w:proofErr w:type="spellStart"/>
            <w:r w:rsidRPr="00E520E5">
              <w:rPr>
                <w:rFonts w:ascii="Times New Roman" w:eastAsia="Times New Roman" w:hAnsi="Times New Roman" w:cs="Times New Roman"/>
                <w:i/>
                <w:iCs/>
                <w:lang w:val="en-US" w:eastAsia="pl-PL"/>
              </w:rPr>
              <w:t>lectorum</w:t>
            </w:r>
            <w:proofErr w:type="spellEnd"/>
            <w:r w:rsidRPr="00E520E5">
              <w:rPr>
                <w:rFonts w:ascii="Times New Roman" w:eastAsia="Times New Roman" w:hAnsi="Times New Roman" w:cs="Times New Roman"/>
                <w:i/>
                <w:iCs/>
                <w:lang w:val="en-US" w:eastAsia="pl-PL"/>
              </w:rPr>
              <w:t xml:space="preserve"> et </w:t>
            </w:r>
            <w:proofErr w:type="spellStart"/>
            <w:r w:rsidRPr="00E520E5">
              <w:rPr>
                <w:rFonts w:ascii="Times New Roman" w:eastAsia="Times New Roman" w:hAnsi="Times New Roman" w:cs="Times New Roman"/>
                <w:i/>
                <w:iCs/>
                <w:lang w:val="en-US" w:eastAsia="pl-PL"/>
              </w:rPr>
              <w:t>acolythorum</w:t>
            </w:r>
            <w:proofErr w:type="spellEnd"/>
          </w:p>
        </w:tc>
      </w:tr>
      <w:tr w:rsidR="008A0D35" w:rsidRPr="00E520E5" w:rsidTr="008A0D35">
        <w:trPr>
          <w:tblCellSpacing w:w="15" w:type="dxa"/>
          <w:jc w:val="center"/>
        </w:trPr>
        <w:tc>
          <w:tcPr>
            <w:tcW w:w="50" w:type="pct"/>
            <w:hideMark/>
          </w:tcPr>
          <w:p w:rsidR="008A0D35" w:rsidRPr="00E520E5" w:rsidRDefault="008A0D35" w:rsidP="008A0D35">
            <w:pPr>
              <w:rPr>
                <w:rFonts w:ascii="Times New Roman" w:eastAsia="Times New Roman" w:hAnsi="Times New Roman" w:cs="Times New Roman"/>
                <w:lang w:eastAsia="pl-PL"/>
              </w:rPr>
            </w:pPr>
            <w:bookmarkStart w:id="4" w:name="prz5"/>
            <w:r w:rsidRPr="00E520E5">
              <w:rPr>
                <w:rFonts w:ascii="Times New Roman" w:eastAsia="Times New Roman" w:hAnsi="Times New Roman" w:cs="Times New Roman"/>
                <w:b/>
                <w:bCs/>
                <w:color w:val="000080"/>
                <w:vertAlign w:val="superscript"/>
                <w:lang w:eastAsia="pl-PL"/>
              </w:rPr>
              <w:t>5</w:t>
            </w:r>
            <w:bookmarkEnd w:id="4"/>
          </w:p>
        </w:tc>
        <w:tc>
          <w:tcPr>
            <w:tcW w:w="0" w:type="auto"/>
            <w:vAlign w:val="center"/>
            <w:hideMark/>
          </w:tcPr>
          <w:p w:rsidR="008A0D35" w:rsidRPr="00E520E5" w:rsidRDefault="008A0D35" w:rsidP="008A0D35">
            <w:pPr>
              <w:jc w:val="both"/>
              <w:rPr>
                <w:rFonts w:ascii="Times New Roman" w:eastAsia="Times New Roman" w:hAnsi="Times New Roman" w:cs="Times New Roman"/>
                <w:lang w:eastAsia="pl-PL"/>
              </w:rPr>
            </w:pPr>
            <w:r w:rsidRPr="00E520E5">
              <w:rPr>
                <w:rFonts w:ascii="Times New Roman" w:eastAsia="Times New Roman" w:hAnsi="Times New Roman" w:cs="Times New Roman"/>
                <w:lang w:eastAsia="pl-PL"/>
              </w:rPr>
              <w:t>por. Papieska Komisja ds. Autentycznej Interpretacji Kodeksu Prawa Kanonicznego, </w:t>
            </w:r>
            <w:proofErr w:type="spellStart"/>
            <w:r w:rsidRPr="00E520E5">
              <w:rPr>
                <w:rFonts w:ascii="Times New Roman" w:eastAsia="Times New Roman" w:hAnsi="Times New Roman" w:cs="Times New Roman"/>
                <w:i/>
                <w:iCs/>
                <w:lang w:eastAsia="pl-PL"/>
              </w:rPr>
              <w:t>Responsio</w:t>
            </w:r>
            <w:proofErr w:type="spellEnd"/>
            <w:r w:rsidRPr="00E520E5">
              <w:rPr>
                <w:rFonts w:ascii="Times New Roman" w:eastAsia="Times New Roman" w:hAnsi="Times New Roman" w:cs="Times New Roman"/>
                <w:i/>
                <w:iCs/>
                <w:lang w:eastAsia="pl-PL"/>
              </w:rPr>
              <w:t xml:space="preserve"> ad </w:t>
            </w:r>
            <w:proofErr w:type="spellStart"/>
            <w:r w:rsidRPr="00E520E5">
              <w:rPr>
                <w:rFonts w:ascii="Times New Roman" w:eastAsia="Times New Roman" w:hAnsi="Times New Roman" w:cs="Times New Roman"/>
                <w:i/>
                <w:iCs/>
                <w:lang w:eastAsia="pl-PL"/>
              </w:rPr>
              <w:t>propositum</w:t>
            </w:r>
            <w:proofErr w:type="spellEnd"/>
            <w:r w:rsidRPr="00E520E5">
              <w:rPr>
                <w:rFonts w:ascii="Times New Roman" w:eastAsia="Times New Roman" w:hAnsi="Times New Roman" w:cs="Times New Roman"/>
                <w:i/>
                <w:iCs/>
                <w:lang w:eastAsia="pl-PL"/>
              </w:rPr>
              <w:t xml:space="preserve"> </w:t>
            </w:r>
            <w:proofErr w:type="spellStart"/>
            <w:r w:rsidRPr="00E520E5">
              <w:rPr>
                <w:rFonts w:ascii="Times New Roman" w:eastAsia="Times New Roman" w:hAnsi="Times New Roman" w:cs="Times New Roman"/>
                <w:i/>
                <w:iCs/>
                <w:lang w:eastAsia="pl-PL"/>
              </w:rPr>
              <w:t>dubium</w:t>
            </w:r>
            <w:proofErr w:type="spellEnd"/>
            <w:r w:rsidRPr="00E520E5">
              <w:rPr>
                <w:rFonts w:ascii="Times New Roman" w:eastAsia="Times New Roman" w:hAnsi="Times New Roman" w:cs="Times New Roman"/>
                <w:lang w:eastAsia="pl-PL"/>
              </w:rPr>
              <w:t> z 1 stycznia 1988</w:t>
            </w:r>
          </w:p>
        </w:tc>
      </w:tr>
      <w:tr w:rsidR="008A0D35" w:rsidRPr="00E520E5" w:rsidTr="008A0D35">
        <w:trPr>
          <w:tblCellSpacing w:w="15" w:type="dxa"/>
          <w:jc w:val="center"/>
        </w:trPr>
        <w:tc>
          <w:tcPr>
            <w:tcW w:w="50" w:type="pct"/>
            <w:hideMark/>
          </w:tcPr>
          <w:p w:rsidR="008A0D35" w:rsidRPr="00E520E5" w:rsidRDefault="008A0D35" w:rsidP="008A0D35">
            <w:pPr>
              <w:rPr>
                <w:rFonts w:ascii="Times New Roman" w:eastAsia="Times New Roman" w:hAnsi="Times New Roman" w:cs="Times New Roman"/>
                <w:lang w:eastAsia="pl-PL"/>
              </w:rPr>
            </w:pPr>
            <w:bookmarkStart w:id="5" w:name="prz6"/>
            <w:r w:rsidRPr="00E520E5">
              <w:rPr>
                <w:rFonts w:ascii="Times New Roman" w:eastAsia="Times New Roman" w:hAnsi="Times New Roman" w:cs="Times New Roman"/>
                <w:b/>
                <w:bCs/>
                <w:color w:val="000080"/>
                <w:vertAlign w:val="superscript"/>
                <w:lang w:eastAsia="pl-PL"/>
              </w:rPr>
              <w:t>6</w:t>
            </w:r>
            <w:bookmarkEnd w:id="5"/>
          </w:p>
        </w:tc>
        <w:tc>
          <w:tcPr>
            <w:tcW w:w="0" w:type="auto"/>
            <w:vAlign w:val="center"/>
            <w:hideMark/>
          </w:tcPr>
          <w:p w:rsidR="008A0D35" w:rsidRPr="00E520E5" w:rsidRDefault="008A0D35" w:rsidP="008A0D35">
            <w:pPr>
              <w:jc w:val="both"/>
              <w:rPr>
                <w:rFonts w:ascii="Times New Roman" w:eastAsia="Times New Roman" w:hAnsi="Times New Roman" w:cs="Times New Roman"/>
                <w:lang w:eastAsia="pl-PL"/>
              </w:rPr>
            </w:pPr>
            <w:r w:rsidRPr="00E520E5">
              <w:rPr>
                <w:rFonts w:ascii="Times New Roman" w:eastAsia="Times New Roman" w:hAnsi="Times New Roman" w:cs="Times New Roman"/>
                <w:lang w:eastAsia="pl-PL"/>
              </w:rPr>
              <w:t xml:space="preserve">por. </w:t>
            </w:r>
            <w:proofErr w:type="spellStart"/>
            <w:r w:rsidRPr="00E520E5">
              <w:rPr>
                <w:rFonts w:ascii="Times New Roman" w:eastAsia="Times New Roman" w:hAnsi="Times New Roman" w:cs="Times New Roman"/>
                <w:lang w:eastAsia="pl-PL"/>
              </w:rPr>
              <w:t>Kongr</w:t>
            </w:r>
            <w:proofErr w:type="spellEnd"/>
            <w:r w:rsidRPr="00E520E5">
              <w:rPr>
                <w:rFonts w:ascii="Times New Roman" w:eastAsia="Times New Roman" w:hAnsi="Times New Roman" w:cs="Times New Roman"/>
                <w:lang w:eastAsia="pl-PL"/>
              </w:rPr>
              <w:t>. ds. Dyscypliny Sakramentów, instrukcja </w:t>
            </w:r>
            <w:proofErr w:type="spellStart"/>
            <w:r w:rsidRPr="00E520E5">
              <w:rPr>
                <w:rFonts w:ascii="Times New Roman" w:eastAsia="Times New Roman" w:hAnsi="Times New Roman" w:cs="Times New Roman"/>
                <w:i/>
                <w:iCs/>
                <w:lang w:eastAsia="pl-PL"/>
              </w:rPr>
              <w:t>Immensæ</w:t>
            </w:r>
            <w:proofErr w:type="spellEnd"/>
            <w:r w:rsidRPr="00E520E5">
              <w:rPr>
                <w:rFonts w:ascii="Times New Roman" w:eastAsia="Times New Roman" w:hAnsi="Times New Roman" w:cs="Times New Roman"/>
                <w:i/>
                <w:iCs/>
                <w:lang w:eastAsia="pl-PL"/>
              </w:rPr>
              <w:t xml:space="preserve"> </w:t>
            </w:r>
            <w:proofErr w:type="spellStart"/>
            <w:r w:rsidRPr="00E520E5">
              <w:rPr>
                <w:rFonts w:ascii="Times New Roman" w:eastAsia="Times New Roman" w:hAnsi="Times New Roman" w:cs="Times New Roman"/>
                <w:i/>
                <w:iCs/>
                <w:lang w:eastAsia="pl-PL"/>
              </w:rPr>
              <w:t>caritatis</w:t>
            </w:r>
            <w:proofErr w:type="spellEnd"/>
            <w:r w:rsidRPr="00E520E5">
              <w:rPr>
                <w:rFonts w:ascii="Times New Roman" w:eastAsia="Times New Roman" w:hAnsi="Times New Roman" w:cs="Times New Roman"/>
                <w:i/>
                <w:iCs/>
                <w:lang w:eastAsia="pl-PL"/>
              </w:rPr>
              <w:t>,</w:t>
            </w:r>
            <w:r w:rsidRPr="00E520E5">
              <w:rPr>
                <w:rFonts w:ascii="Times New Roman" w:eastAsia="Times New Roman" w:hAnsi="Times New Roman" w:cs="Times New Roman"/>
                <w:lang w:eastAsia="pl-PL"/>
              </w:rPr>
              <w:t> 1; Kongregacja ds. Kultu Bożego i Dyscypliny Sakramentów, instrukcja </w:t>
            </w:r>
            <w:proofErr w:type="spellStart"/>
            <w:r w:rsidRPr="00E520E5">
              <w:rPr>
                <w:rFonts w:ascii="Times New Roman" w:eastAsia="Times New Roman" w:hAnsi="Times New Roman" w:cs="Times New Roman"/>
                <w:i/>
                <w:iCs/>
                <w:lang w:eastAsia="pl-PL"/>
              </w:rPr>
              <w:t>Inestimabile</w:t>
            </w:r>
            <w:proofErr w:type="spellEnd"/>
            <w:r w:rsidRPr="00E520E5">
              <w:rPr>
                <w:rFonts w:ascii="Times New Roman" w:eastAsia="Times New Roman" w:hAnsi="Times New Roman" w:cs="Times New Roman"/>
                <w:i/>
                <w:iCs/>
                <w:lang w:eastAsia="pl-PL"/>
              </w:rPr>
              <w:t xml:space="preserve"> </w:t>
            </w:r>
            <w:proofErr w:type="spellStart"/>
            <w:r w:rsidRPr="00E520E5">
              <w:rPr>
                <w:rFonts w:ascii="Times New Roman" w:eastAsia="Times New Roman" w:hAnsi="Times New Roman" w:cs="Times New Roman"/>
                <w:i/>
                <w:iCs/>
                <w:lang w:eastAsia="pl-PL"/>
              </w:rPr>
              <w:t>donum</w:t>
            </w:r>
            <w:proofErr w:type="spellEnd"/>
            <w:r w:rsidRPr="00E520E5">
              <w:rPr>
                <w:rFonts w:ascii="Times New Roman" w:eastAsia="Times New Roman" w:hAnsi="Times New Roman" w:cs="Times New Roman"/>
                <w:i/>
                <w:iCs/>
                <w:lang w:eastAsia="pl-PL"/>
              </w:rPr>
              <w:t>,</w:t>
            </w:r>
            <w:r w:rsidRPr="00E520E5">
              <w:rPr>
                <w:rFonts w:ascii="Times New Roman" w:eastAsia="Times New Roman" w:hAnsi="Times New Roman" w:cs="Times New Roman"/>
                <w:lang w:eastAsia="pl-PL"/>
              </w:rPr>
              <w:t> 10</w:t>
            </w:r>
          </w:p>
        </w:tc>
      </w:tr>
      <w:tr w:rsidR="008A0D35" w:rsidRPr="00E520E5" w:rsidTr="008A0D35">
        <w:trPr>
          <w:trHeight w:val="69"/>
          <w:tblCellSpacing w:w="15" w:type="dxa"/>
          <w:jc w:val="center"/>
        </w:trPr>
        <w:tc>
          <w:tcPr>
            <w:tcW w:w="50" w:type="pct"/>
            <w:hideMark/>
          </w:tcPr>
          <w:p w:rsidR="008A0D35" w:rsidRPr="00E520E5" w:rsidRDefault="008A0D35" w:rsidP="008A0D35">
            <w:pPr>
              <w:rPr>
                <w:rFonts w:ascii="Times New Roman" w:eastAsia="Times New Roman" w:hAnsi="Times New Roman" w:cs="Times New Roman"/>
                <w:lang w:eastAsia="pl-PL"/>
              </w:rPr>
            </w:pPr>
            <w:bookmarkStart w:id="6" w:name="prz7"/>
            <w:r w:rsidRPr="00E520E5">
              <w:rPr>
                <w:rFonts w:ascii="Times New Roman" w:eastAsia="Times New Roman" w:hAnsi="Times New Roman" w:cs="Times New Roman"/>
                <w:b/>
                <w:bCs/>
                <w:color w:val="000080"/>
                <w:vertAlign w:val="superscript"/>
                <w:lang w:eastAsia="pl-PL"/>
              </w:rPr>
              <w:t>7</w:t>
            </w:r>
            <w:bookmarkEnd w:id="6"/>
          </w:p>
        </w:tc>
        <w:tc>
          <w:tcPr>
            <w:tcW w:w="0" w:type="auto"/>
            <w:vAlign w:val="center"/>
            <w:hideMark/>
          </w:tcPr>
          <w:p w:rsidR="008A0D35" w:rsidRPr="00E520E5" w:rsidRDefault="008A0D35" w:rsidP="008A0D35">
            <w:pPr>
              <w:jc w:val="both"/>
              <w:rPr>
                <w:rFonts w:ascii="Times New Roman" w:eastAsia="Times New Roman" w:hAnsi="Times New Roman" w:cs="Times New Roman"/>
                <w:lang w:eastAsia="pl-PL"/>
              </w:rPr>
            </w:pPr>
            <w:r w:rsidRPr="00E520E5">
              <w:rPr>
                <w:rFonts w:ascii="Times New Roman" w:eastAsia="Times New Roman" w:hAnsi="Times New Roman" w:cs="Times New Roman"/>
                <w:lang w:eastAsia="pl-PL"/>
              </w:rPr>
              <w:t>KPK kan. 230, § 2 i § 3 stwierdza, że wymienione w nim posługi liturgiczne mogą pełnić wierni nie wyświęceni jedynie </w:t>
            </w:r>
            <w:r w:rsidRPr="00E520E5">
              <w:rPr>
                <w:rFonts w:ascii="Times New Roman" w:eastAsia="Times New Roman" w:hAnsi="Times New Roman" w:cs="Times New Roman"/>
                <w:i/>
                <w:iCs/>
                <w:lang w:eastAsia="pl-PL"/>
              </w:rPr>
              <w:t xml:space="preserve">ex </w:t>
            </w:r>
            <w:proofErr w:type="spellStart"/>
            <w:r w:rsidRPr="00E520E5">
              <w:rPr>
                <w:rFonts w:ascii="Times New Roman" w:eastAsia="Times New Roman" w:hAnsi="Times New Roman" w:cs="Times New Roman"/>
                <w:i/>
                <w:iCs/>
                <w:lang w:eastAsia="pl-PL"/>
              </w:rPr>
              <w:t>temporanea</w:t>
            </w:r>
            <w:proofErr w:type="spellEnd"/>
            <w:r w:rsidRPr="00E520E5">
              <w:rPr>
                <w:rFonts w:ascii="Times New Roman" w:eastAsia="Times New Roman" w:hAnsi="Times New Roman" w:cs="Times New Roman"/>
                <w:i/>
                <w:iCs/>
                <w:lang w:eastAsia="pl-PL"/>
              </w:rPr>
              <w:t xml:space="preserve"> </w:t>
            </w:r>
            <w:proofErr w:type="spellStart"/>
            <w:r w:rsidRPr="00E520E5">
              <w:rPr>
                <w:rFonts w:ascii="Times New Roman" w:eastAsia="Times New Roman" w:hAnsi="Times New Roman" w:cs="Times New Roman"/>
                <w:i/>
                <w:iCs/>
                <w:lang w:eastAsia="pl-PL"/>
              </w:rPr>
              <w:t>deputatione</w:t>
            </w:r>
            <w:proofErr w:type="spellEnd"/>
            <w:r w:rsidRPr="00E520E5">
              <w:rPr>
                <w:rFonts w:ascii="Times New Roman" w:eastAsia="Times New Roman" w:hAnsi="Times New Roman" w:cs="Times New Roman"/>
                <w:lang w:eastAsia="pl-PL"/>
              </w:rPr>
              <w:t> lub w zastępstwie</w:t>
            </w:r>
          </w:p>
        </w:tc>
      </w:tr>
    </w:tbl>
    <w:p w:rsidR="00FD3913" w:rsidRPr="00E520E5" w:rsidRDefault="00E520E5">
      <w:pPr>
        <w:rPr>
          <w:rFonts w:ascii="Times New Roman" w:hAnsi="Times New Roman" w:cs="Times New Roman"/>
        </w:rPr>
      </w:pPr>
    </w:p>
    <w:sectPr w:rsidR="00FD3913" w:rsidRPr="00E520E5" w:rsidSect="00F802C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35"/>
    <w:rsid w:val="00605E19"/>
    <w:rsid w:val="008A0D35"/>
    <w:rsid w:val="00E33DFE"/>
    <w:rsid w:val="00E520E5"/>
    <w:rsid w:val="00F802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230375F6"/>
  <w15:chartTrackingRefBased/>
  <w15:docId w15:val="{595E843B-8092-6347-8B8C-BD5B841B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8A0D35"/>
    <w:pPr>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8A0D35"/>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8A0D35"/>
    <w:rPr>
      <w:color w:val="0000FF"/>
      <w:u w:val="single"/>
    </w:rPr>
  </w:style>
  <w:style w:type="paragraph" w:styleId="Tekstdymka">
    <w:name w:val="Balloon Text"/>
    <w:basedOn w:val="Normalny"/>
    <w:link w:val="TekstdymkaZnak"/>
    <w:uiPriority w:val="99"/>
    <w:semiHidden/>
    <w:unhideWhenUsed/>
    <w:rsid w:val="00E33DFE"/>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E33DF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633267">
      <w:bodyDiv w:val="1"/>
      <w:marLeft w:val="0"/>
      <w:marRight w:val="0"/>
      <w:marTop w:val="0"/>
      <w:marBottom w:val="0"/>
      <w:divBdr>
        <w:top w:val="none" w:sz="0" w:space="0" w:color="auto"/>
        <w:left w:val="none" w:sz="0" w:space="0" w:color="auto"/>
        <w:bottom w:val="none" w:sz="0" w:space="0" w:color="auto"/>
        <w:right w:val="none" w:sz="0" w:space="0" w:color="auto"/>
      </w:divBdr>
      <w:divsChild>
        <w:div w:id="1312708295">
          <w:marLeft w:val="0"/>
          <w:marRight w:val="0"/>
          <w:marTop w:val="0"/>
          <w:marBottom w:val="0"/>
          <w:divBdr>
            <w:top w:val="none" w:sz="0" w:space="0" w:color="auto"/>
            <w:left w:val="none" w:sz="0" w:space="0" w:color="auto"/>
            <w:bottom w:val="none" w:sz="0" w:space="0" w:color="auto"/>
            <w:right w:val="none" w:sz="0" w:space="0" w:color="auto"/>
          </w:divBdr>
          <w:divsChild>
            <w:div w:id="1891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farze.waw.pl/docs_tekst1.php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afarze.waw.pl/docs_tekst1.php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farze.waw.pl/docs_tekst1.php3" TargetMode="External"/><Relationship Id="rId11" Type="http://schemas.openxmlformats.org/officeDocument/2006/relationships/hyperlink" Target="http://www.opoka.org.pl/biblioteka/W/WR/kongregacje/swieccy_kapl_01.html" TargetMode="External"/><Relationship Id="rId5" Type="http://schemas.openxmlformats.org/officeDocument/2006/relationships/hyperlink" Target="http://szafarze.waw.pl/docs_tekst1.php3" TargetMode="External"/><Relationship Id="rId10" Type="http://schemas.openxmlformats.org/officeDocument/2006/relationships/hyperlink" Target="http://szafarze.waw.pl/docs_tekst1.php3" TargetMode="External"/><Relationship Id="rId4" Type="http://schemas.openxmlformats.org/officeDocument/2006/relationships/hyperlink" Target="http://szafarze.waw.pl/docs_tekst1.php3" TargetMode="External"/><Relationship Id="rId9" Type="http://schemas.openxmlformats.org/officeDocument/2006/relationships/hyperlink" Target="http://szafarze.waw.pl/docs_tekst1.php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667</Words>
  <Characters>3985</Characters>
  <Application>Microsoft Office Word</Application>
  <DocSecurity>0</DocSecurity>
  <Lines>69</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2020-05-16T08:36:00Z</dcterms:created>
  <dcterms:modified xsi:type="dcterms:W3CDTF">2020-06-06T06:37:00Z</dcterms:modified>
</cp:coreProperties>
</file>